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  <w:spacing w:before="0" w:beforeAutospacing="0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 </w:t>
      </w:r>
      <w:r>
        <w:rPr>
          <w:rFonts w:ascii="Arial" w:hAnsi="Arial" w:cs="Arial"/>
          <w:color w:val="0054A5"/>
          <w:sz w:val="36"/>
          <w:szCs w:val="36"/>
        </w:rPr>
        <w:t>РЕКОМЕНДАЦИИ ПАЦИЕНТУ ПРИ СУТОЧНОМ МОНИТОРИРОВАНИИ АРТЕРИАЛЬНОГО ДАВЛЕНИЯ (СМАД)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0054A5"/>
          <w:sz w:val="36"/>
          <w:szCs w:val="36"/>
        </w:rPr>
        <w:t>Направление на СМАД выдаёт КАРДИОЛОГ!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Суточное мониторирование АД (СМАД) проводится с целью более точного определения уровня артериального давления и степени его снижения в ходе лечения. Исследования последних лет показали, что диагностическую ценность представляют не только традиционные разовые измерения АД, но   и величины АД во время сна, физической, умственной нагрузок, на разных сроках после приема лекарств и т.д.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Для того, чтобы результаты исследования могли дать полную информацию лечащему врачу необходимо ВАШЕ АКТИВНОЕ СОДЕЙСТВИЕ.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b/>
          <w:bCs/>
          <w:color w:val="4C4C4C"/>
          <w:sz w:val="20"/>
          <w:szCs w:val="20"/>
        </w:rPr>
        <w:t>Вы должны соблюдать следующие рекомендации: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Следите за положением манжеты. Нижний край манжеты должен быть выше с локтевого сгиба на 1-2 пальца. Если манжета соскользнула вниз на локоть, расстегнулась или перекрутилась и надувается «пузырем» с одной стороны, поправьте ее. Если Вы не сделаете этого, прибор будет производить неточные измерения или вообще не будет их выполнять.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Перед тем, как начать очередное измерение монитор подает звуковой сигнал. Прибор измеряет надежнее и точнее, если во время измерения АД Вы не двигаетесь. Поэтому, услышав звуковой сигнал, предупреждающий о начале очередного измерения или почувствовав, что манжета на Вашей руке начала надуваться, остановитесь, если вы идете, и, пока прибор накачивает и, особенно, когда стравливает воздух, держите руку с манжетой, включая кисть и пальцы, полностью расслабленной и неподвижной до самого конца измерения. В противном случае данное измерение может оказаться неудачным, и прибор через 1-2 минуты может его повторить. Если повторное измерение тоже окажется неудачным, врач не сможет узнать Ваше давление в это время суток. Измерение заканчивается, когда воздух из манжеты полностью выйдет.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Следите за тем, чтобы трубка, соединяющая монитор с манжетой, не пережималась. Если Вы заметили, что компрессор монитора работает, а манжета не надувается, проверьте, не отсоединилась ли трубка от монитора или манжеты.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Для проведения дополнительного измерения АД (при появлении жалоб на головную боль, головокружение и т.п.) нажмите нижнюю (меньшую по размеру) кнопку монитора.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В течение всех суток заполняйте, пожалуйста, дневник пациента, а именно: опишите, что вы делали (отдых, ходьба, транспорт, просмотр телевизора, чтение, принятие пищи, лекарства, прогулка, бег, ночные пробуждения и др.). Точно укажите время, когда вы легли спать и когда встали. Обязательно отмечайте периоды отдыха в горизонтальном положении днем и уточняйте те моменты, когда вы задремали.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Если у Вас появились боли в сердце, головная боль и т.д., то нажмите верхнюю (большую по размеру) кнопку и опишите это в дневнике. Если вы приняли лекарство, также занесите это в дневник.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</w:t>
      </w:r>
    </w:p>
    <w:p>
      <w:pPr>
        <w:pStyle w:val="a3"/>
        <w:spacing w:before="0" w:beforeAutospacing="0" w:after="0" w:afterAutospacing="0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lastRenderedPageBreak/>
        <w:t>НАПОМИНАЕМ ВАМ, ЧТО БЕЗ ТЩАТЕЛЬНО ЗАПОЛНЕНОГО ДНЕВНИКА С УКАЗАНИЕМ ВСЕХ МОМЕНТОВ АКТИВНОСТИ, ВРЕМЕНИ ПРИНЯТИЯ ЛЕКАРСТВ И ФИЗИЧЕСКИХ НАГРУЗОК ПОЛНОЦЕННАЯ РАСШИФРОВКА ДАННЫХ МОНИТОРИРОВАНИЯ НЕВОЗМОЖНА.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В ходе мониторирования Вам необходимо провести физическую нагрузку в виде ПОДЪЕМА ПО ЛЕСТНИЦЕ. Чаще всего рекомендуется проводить пробу с подъемом по лестнице   2 раза в сутки (утром и вечером).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b/>
          <w:bCs/>
          <w:color w:val="4C4C4C"/>
          <w:sz w:val="20"/>
          <w:szCs w:val="20"/>
        </w:rPr>
        <w:t>Надо выполнить следующие инструкции: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1.     Перед подъемом (на первом этаже) следует постоять и отдохнуть 3 минуты.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2.     Момент начала (и окончания) подъема необходимо отметить нажатием верхней кнопки монитора !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3.     Подниматься следует в обычном темпе без остановок до появления усталости, болей, других неприятных ощущений или пока не закончится лестница.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4.     По окончании подъема - не забыть нажать верхнюю кнопку монитора !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5.     Записать в дневнике время проведения нагрузки, количество пройденных ступенек, а также ощущения в области сердца, которые заставили прекратить нагрузку.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 </w:t>
      </w:r>
    </w:p>
    <w:p>
      <w:pPr>
        <w:pStyle w:val="a3"/>
        <w:spacing w:before="0" w:beforeAutospacing="0" w:after="0" w:afterAutospacing="0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Прибор является сложным микропроцессорным устройством и боится попадания на него воды, действия сильного магнитного и электрических полей, рентгеновского излучения.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</w:t>
      </w:r>
      <w:r>
        <w:rPr>
          <w:rFonts w:ascii="Arial" w:hAnsi="Arial" w:cs="Arial"/>
          <w:b/>
          <w:bCs/>
          <w:color w:val="4C4C4C"/>
          <w:sz w:val="20"/>
          <w:szCs w:val="20"/>
        </w:rPr>
        <w:t>При мониторировании необходимо избегать: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o   использования микроволновых печей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o   использования различных радиопередающих устройств (радиотелефона, мобильного телефона, аудио-плейера)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o   электромагнитных арок в магазинах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o   проведения физиотерапевтических и других диагностических процедур (рентген, УЗИ)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o   Не рекомендуется пользоваться общественным транспортом.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0054A5"/>
          <w:sz w:val="36"/>
          <w:szCs w:val="36"/>
        </w:rPr>
        <w:t>ИНСТРУКЦИЯ  ПАЦИЕНТУ  ПО  СУТОЧНОМУ МОНИТОРИРОВАНИЮ  ЭКГ  (ХМ ЭКГ)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0054A5"/>
          <w:sz w:val="36"/>
          <w:szCs w:val="36"/>
        </w:rPr>
        <w:t>Направление  на  ХМЭКГ  выдаёт  КАРДИОЛОГ !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Суточное мониторирование ЭКГ производится с целью выявления и оценки  нарушений  сердечного ритма в течение суток в  условиях  обычной  жизнедеятельности   пациента.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 xml:space="preserve">В течение суточного мониторирования пациент должен  вести  дневник своего дня, в котором следует указывать действия, выполняемые в период обследования. Важно фиксировать состояние физической активности (передвижения по улице и в помещении, вождение автомобиля) или покоя </w:t>
      </w:r>
      <w:r>
        <w:rPr>
          <w:rFonts w:ascii="Arial" w:hAnsi="Arial" w:cs="Arial"/>
          <w:color w:val="4C4C4C"/>
          <w:sz w:val="20"/>
          <w:szCs w:val="20"/>
        </w:rPr>
        <w:lastRenderedPageBreak/>
        <w:t>(отдых, чтение, просмотр телевизора, учебные занятия), время приема пищи и лекарственных препаратов, курение, а также эмоциональные переживания и стрессовые ситуации за сутки.</w:t>
      </w:r>
    </w:p>
    <w:p>
      <w:pPr>
        <w:pStyle w:val="a3"/>
        <w:spacing w:before="0" w:beforeAutospacing="0" w:after="0" w:afterAutospacing="0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Важно отметить время начала и окончание ночного сна, а также качество сна и ночные пробуждения.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При появлении жалоб (боль в груди, сердцебиение, головокружение, слабость и т.д.) однократно нажмите на кнопку на передней панели прибора и оставьте запись в дневнике о характере жалоб.</w:t>
      </w:r>
    </w:p>
    <w:p>
      <w:pPr>
        <w:pStyle w:val="a3"/>
        <w:spacing w:before="0" w:beforeAutospacing="0" w:after="0" w:afterAutospacing="0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Необходимо следить за электродами. При отсоединении надо приклеить к коже на прежнее место.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В течение ЭКГ-мониторирования рекомендуется выполнить две физические нагрузки в виде подъема по лестнице, при условии, что у пациента нет ограничения двигательного режима, который устанавливается лечащим врачом. Подъемы по лестнице необходимо выполнить в первой и во второй половине дня, подниматься следует в обычном темпе, без остановок, до появления каких-либо неприятных ощущений в области сердца (одышки, сердцебиения, болей, перебоев и т.д.) или физической усталости. При отсутствии неприятных ощущений подъем продолжается до конца лестницы.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b/>
          <w:bCs/>
          <w:color w:val="4C4C4C"/>
          <w:sz w:val="20"/>
          <w:szCs w:val="20"/>
        </w:rPr>
        <w:t>Нагрузка должна выполняться по следующей методике: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1.     Перед подъемом, на первом этаже следует постоять, отдохнуть 3 минуты  для восстановления пульса;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2.     нажать на кнопку на мониторе, после чего начать подъем;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3.     в конце подъема снова нажать ту же кнопку;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4.     В дневнике необходимо отметить: количество пройденных ступеней, время начала подъема, а также ощущения в области сердца, которые заставили прекратить нагрузку.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b/>
          <w:bCs/>
          <w:color w:val="4C4C4C"/>
          <w:sz w:val="20"/>
          <w:szCs w:val="20"/>
        </w:rPr>
        <w:t>При  мониторировании  необходимо  избегать: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o   использования микроволновых печей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o   использования различных радиопередающих устройств (радиотелефона, мобильного телефона, аудио-плеера)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o   электромагнитных арок  в магазинах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o   проведения физиотерапевтических и других диагностических процедур (рентген, УЗИ)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0054A5"/>
          <w:sz w:val="36"/>
          <w:szCs w:val="36"/>
        </w:rPr>
        <w:t>Электрокардиография ЭКГ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      </w:t>
      </w:r>
      <w:r>
        <w:rPr>
          <w:rFonts w:ascii="Arial" w:hAnsi="Arial" w:cs="Arial"/>
          <w:b/>
          <w:bCs/>
          <w:color w:val="4C4C4C"/>
          <w:sz w:val="20"/>
          <w:szCs w:val="20"/>
        </w:rPr>
        <w:t>Электрокардиография  (ЭКГ) –</w:t>
      </w:r>
      <w:r>
        <w:rPr>
          <w:rFonts w:ascii="Arial" w:hAnsi="Arial" w:cs="Arial"/>
          <w:color w:val="4C4C4C"/>
          <w:sz w:val="20"/>
          <w:szCs w:val="20"/>
        </w:rPr>
        <w:t> метод  исследования  сердечной мышцы  путем  регистрации  биоэлектрических  потенциалов  работающего  сердца,  позволяющий  оценить  его  ритм  и  выявить  нарушения  в  работе  проводящей  системы  сердца.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      ЭКГ  проводится  при  наличии  направления  от  врача-педиатра  (фельдшера)  или   врача  узкой  специальности.</w:t>
      </w:r>
    </w:p>
    <w:p>
      <w:pPr>
        <w:pStyle w:val="a3"/>
        <w:spacing w:before="0" w:beforeAutospacing="0" w:after="0" w:afterAutospacing="0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             Возрастных ограничений  для  проведения  ЭКГ  не  существует.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lastRenderedPageBreak/>
        <w:t>       Необходимо  ребенку  заранее  объяснить  безболезнен-ность  ЭКГ,  по  возможности  показать,  как  проводится  исследование  у  другого  ребенка.  С  малышом  постарше  можно  накануне  поиграть  «в  доктора»  и  показать  с  помощью  кукол,  что  его  ожидает.  Грудничков  желательно  приносить  на  ЭКГ  либо  во  время  сна,  либо  после  приема  пищи,  когда  они  находятся  в  умиротворенном  состоянии.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  На  исследование   разрешено  взять  любимую  игрушку или  книжку,  чтобы  отвлечь  ребенка.  Если  малыш  будет  беспокоен,  то  возможны  искажения  на  записи.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     Мобильные  телефоны  перед  ЭКГ  должны  быть  отключены (!),  так  как  они  часто  дают  помехи  на  пленке  ЭКГ,  что  затрудняет  расшифровку  записи.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 На  исследование  рекомендуется  одеть  ребенка  так,  чтобы  в  кабинете  ЭКГ  не  пришлось  долго  возиться  с  пуговицами   и  можно  было  легко  снять  одежду.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     Регистрация   ЭКГ  проводится   после  10-15  минутного  отдыха  (состояние  покоя),   т.е.  перед   ЭКГ  лучше   посидеть спокойно,  почитать  книжку  и  т.п.,   но  не  стоит  бегать  по коридору  или  по  лестнице  (иначе  на  записи  вместо  ЭКГ покоя,  будет  результат,  как  после  физической  нагрузки,                  что  может   быть  неправильно  истолковано  при  расшифровке).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0054A5"/>
          <w:sz w:val="36"/>
          <w:szCs w:val="36"/>
        </w:rPr>
        <w:t>  Эхокардиография ЭХОКГ  =  УЗИ  сердца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Эхокардиография  (ЭХОКГ)  или  УЗИ  сердца — исследование  сердца  человека  с  помощью  ультразвуковых  волн,  позволяющее  оценить  размеры  камер  сердца, толщину стенок,  функциональную  способность  клапанов  и  нарушение  нормального  тока  крови. 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ЭХОКГ  проводится  при  наличии  направления  от  врача-педиатра (фельдшера)  или   врача  узкой  специальности.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  Возрастных  ограничений  для  проведения  ЭХОКГ  не  существует.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  Проведение ЭХОКГ  возможно  не  только  утром,  но  и  в  течение  всего  дня.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  Специальной  подготовки  к  этому  исследованию не  требуется  (нет  никаких  ограничений  по  приему  пищи  перед  ЭХОКГ !).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   Единственное  условие  для  качественного  проведения  ЭХОКГ  –  это   спокойное   поведение   ребенка !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Если  ребенок  излишне  эмоционален,  беспокоен  в  новой обстановке, за  несколько  дней  до  исследования  необходимо начать  психологическую  подготовку  ребенка – объяснить,    что  процедура безболезненна  и  длится  недолго.  Не  забудьте захватить  с  собой любимую  книжку  или  игрушку  ребенка! Во  время  ЭХОКГ постарайтесь  максимально  отвлечь ребенка  от  исследования,  это даст  возможность  врачу быстро  и  качественно  провести исследование, а  ребенку легче  перенести  процедуру.</w:t>
      </w:r>
    </w:p>
    <w:p>
      <w:pPr>
        <w:pStyle w:val="a3"/>
      </w:pPr>
      <w:r>
        <w:rPr>
          <w:rFonts w:ascii="Arial" w:hAnsi="Arial" w:cs="Arial"/>
          <w:color w:val="4C4C4C"/>
          <w:sz w:val="20"/>
          <w:szCs w:val="20"/>
        </w:rPr>
        <w:t>При  беспокойстве  грудничков  во  время  проведения  ЭХОКГ  разрешается  кормление  их  грудью  матери  или  молочной  смесью.  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1035">
          <w:blockQuote w:val="1"/>
          <w:marLeft w:val="131"/>
          <w:marRight w:val="131"/>
          <w:marTop w:val="360"/>
          <w:marBottom w:val="360"/>
          <w:divBdr>
            <w:top w:val="none" w:sz="0" w:space="0" w:color="auto"/>
            <w:left w:val="single" w:sz="12" w:space="7" w:color="B4B4B4"/>
            <w:bottom w:val="none" w:sz="0" w:space="0" w:color="auto"/>
            <w:right w:val="none" w:sz="0" w:space="0" w:color="auto"/>
          </w:divBdr>
        </w:div>
        <w:div w:id="751508742">
          <w:blockQuote w:val="1"/>
          <w:marLeft w:val="131"/>
          <w:marRight w:val="131"/>
          <w:marTop w:val="360"/>
          <w:marBottom w:val="360"/>
          <w:divBdr>
            <w:top w:val="none" w:sz="0" w:space="0" w:color="auto"/>
            <w:left w:val="single" w:sz="12" w:space="7" w:color="B4B4B4"/>
            <w:bottom w:val="none" w:sz="0" w:space="0" w:color="auto"/>
            <w:right w:val="none" w:sz="0" w:space="0" w:color="auto"/>
          </w:divBdr>
        </w:div>
        <w:div w:id="1926837094">
          <w:blockQuote w:val="1"/>
          <w:marLeft w:val="131"/>
          <w:marRight w:val="131"/>
          <w:marTop w:val="360"/>
          <w:marBottom w:val="360"/>
          <w:divBdr>
            <w:top w:val="none" w:sz="0" w:space="0" w:color="auto"/>
            <w:left w:val="single" w:sz="12" w:space="7" w:color="B4B4B4"/>
            <w:bottom w:val="none" w:sz="0" w:space="0" w:color="auto"/>
            <w:right w:val="none" w:sz="0" w:space="0" w:color="auto"/>
          </w:divBdr>
        </w:div>
        <w:div w:id="1750540493">
          <w:blockQuote w:val="1"/>
          <w:marLeft w:val="131"/>
          <w:marRight w:val="131"/>
          <w:marTop w:val="360"/>
          <w:marBottom w:val="360"/>
          <w:divBdr>
            <w:top w:val="none" w:sz="0" w:space="0" w:color="auto"/>
            <w:left w:val="single" w:sz="12" w:space="7" w:color="B4B4B4"/>
            <w:bottom w:val="none" w:sz="0" w:space="0" w:color="auto"/>
            <w:right w:val="none" w:sz="0" w:space="0" w:color="auto"/>
          </w:divBdr>
        </w:div>
        <w:div w:id="1469321528">
          <w:blockQuote w:val="1"/>
          <w:marLeft w:val="131"/>
          <w:marRight w:val="131"/>
          <w:marTop w:val="360"/>
          <w:marBottom w:val="360"/>
          <w:divBdr>
            <w:top w:val="none" w:sz="0" w:space="0" w:color="auto"/>
            <w:left w:val="single" w:sz="12" w:space="7" w:color="B4B4B4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pusao</dc:creator>
  <cp:keywords/>
  <dc:description/>
  <cp:lastModifiedBy>pusao</cp:lastModifiedBy>
  <cp:revision>2</cp:revision>
  <dcterms:created xsi:type="dcterms:W3CDTF">2024-02-01T06:30:00Z</dcterms:created>
  <dcterms:modified xsi:type="dcterms:W3CDTF">2024-02-01T06:30:00Z</dcterms:modified>
</cp:coreProperties>
</file>